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1AC" w:rsidRDefault="006A21AC" w:rsidP="006A21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6A21AC" w:rsidRDefault="006A21AC" w:rsidP="006A21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6A21AC" w:rsidRDefault="006A21AC" w:rsidP="006A21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6A21AC" w:rsidRDefault="006A21AC" w:rsidP="006A21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6A21AC" w:rsidRDefault="006A21AC" w:rsidP="006A21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6A21AC" w:rsidRDefault="006A21AC" w:rsidP="006A21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6A21AC" w:rsidRDefault="006A21AC" w:rsidP="006A21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6A21AC" w:rsidRDefault="006A21AC" w:rsidP="006A21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6A21AC" w:rsidRDefault="006A21AC" w:rsidP="006A21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6A21AC" w:rsidRDefault="006A21AC" w:rsidP="006A21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6A21AC" w:rsidRDefault="006A21AC" w:rsidP="006A21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42351" w:rsidRPr="006A21AC" w:rsidRDefault="00A42351" w:rsidP="006A21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A21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О Прогнозе социально-экономического развития городского </w:t>
      </w:r>
      <w:r w:rsidRPr="006A21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br/>
        <w:t>округа Тольятти на 2026 год и плановый период 2027 и 2028 годов</w:t>
      </w:r>
    </w:p>
    <w:p w:rsidR="00A42351" w:rsidRPr="006A21AC" w:rsidRDefault="00A42351" w:rsidP="006A21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42351" w:rsidRDefault="00A42351" w:rsidP="006A21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A21AC" w:rsidRPr="006A21AC" w:rsidRDefault="006A21AC" w:rsidP="006A21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42351" w:rsidRPr="006A21AC" w:rsidRDefault="00A42351" w:rsidP="006A21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Рассмотрев представленный администрацией городского округа Тольятти Прогноз социально-экономического развития городского округа Тольятти на 2026 год и плановый период 2027 и 2028 годов, Дума</w:t>
      </w:r>
    </w:p>
    <w:p w:rsidR="00A42351" w:rsidRPr="006A21AC" w:rsidRDefault="00A42351" w:rsidP="006A21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A42351" w:rsidRPr="006A21AC" w:rsidRDefault="00A42351" w:rsidP="006A21A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6A21A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РЕШИЛА:</w:t>
      </w:r>
    </w:p>
    <w:p w:rsidR="00A42351" w:rsidRPr="006A21AC" w:rsidRDefault="00A42351" w:rsidP="006A21A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</w:p>
    <w:p w:rsidR="00A42351" w:rsidRPr="006A21AC" w:rsidRDefault="00A42351" w:rsidP="006A21AC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Принять к сведению Прогноз социально-экономического развития городского округа Тольятти на 202</w:t>
      </w:r>
      <w:r w:rsidR="009E2070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 и плановый период </w:t>
      </w:r>
      <w:r w:rsid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</w:t>
      </w:r>
      <w:r w:rsidR="009E2070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</w:t>
      </w:r>
      <w:r w:rsidR="009E2070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годов, одобренный постановлением администрации городского округа Тольятти от </w:t>
      </w:r>
      <w:r w:rsidR="009E2070" w:rsidRPr="006A21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23.10.2025 № 2054-п/1 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(далее – Прогноз).</w:t>
      </w:r>
    </w:p>
    <w:p w:rsidR="00A42351" w:rsidRPr="006A21AC" w:rsidRDefault="002D13EE" w:rsidP="006A21AC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bookmarkStart w:id="0" w:name="_GoBack"/>
      <w:bookmarkEnd w:id="0"/>
      <w:r w:rsidR="00A42351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сновные параметры Прогноза разработаны в двух вариантах – консервативном и базовом.</w:t>
      </w:r>
    </w:p>
    <w:p w:rsidR="00A42351" w:rsidRPr="006A21AC" w:rsidRDefault="00A42351" w:rsidP="006A21AC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Отметить, что в 202</w:t>
      </w:r>
      <w:r w:rsidR="00FC1DC9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году и плановом периоде 202</w:t>
      </w:r>
      <w:r w:rsidR="00FC1DC9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7 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202</w:t>
      </w:r>
      <w:r w:rsidR="00FC1DC9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годов основные показатели социально-экономического развития прогнозируются в следующих значениях:</w:t>
      </w:r>
    </w:p>
    <w:p w:rsidR="00E977BE" w:rsidRPr="006A21AC" w:rsidRDefault="00E977BE" w:rsidP="006A21A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уровень инфляции</w:t>
      </w:r>
      <w:r w:rsidR="007D1CB6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консервативному </w:t>
      </w:r>
      <w:r w:rsidR="007D1CB6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базовому 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вариант</w:t>
      </w:r>
      <w:r w:rsidR="007D1CB6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ам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развития прогнозируется в 2026-2028 годах на уровне 104% (декабрь к декабрю) и среднегодовой </w:t>
      </w:r>
      <w:r w:rsidR="004B2B81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индекс потребительских цен 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2026 году</w:t>
      </w:r>
      <w:r w:rsidR="00BA1866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составит 105,7%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 2027-2028 годах – 104%;</w:t>
      </w:r>
    </w:p>
    <w:p w:rsidR="00A42351" w:rsidRPr="006A21AC" w:rsidRDefault="00A42351" w:rsidP="006A21A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</w:t>
      </w:r>
      <w:r w:rsidR="006A21AC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 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индекс промышленного производства: в случае реализации консервативного варианта составит в 202</w:t>
      </w:r>
      <w:r w:rsidR="00D96A11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году – </w:t>
      </w:r>
      <w:r w:rsidR="001F17EE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99,3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%, в 202</w:t>
      </w:r>
      <w:r w:rsidR="001F17EE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году – </w:t>
      </w:r>
      <w:r w:rsidR="001F17EE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103,9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%, в 202</w:t>
      </w:r>
      <w:r w:rsidR="001F17EE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году – </w:t>
      </w:r>
      <w:r w:rsidR="001F17EE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107,9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%,</w:t>
      </w:r>
      <w:r w:rsidRPr="006A21A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базовому варианту будет расти более высокими темпами и составит в 202</w:t>
      </w:r>
      <w:r w:rsidR="001F17EE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году – </w:t>
      </w:r>
      <w:r w:rsidR="00160FB0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109,</w:t>
      </w:r>
      <w:r w:rsidR="001F17EE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4%, в 2027 году – 111,2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%, </w:t>
      </w:r>
      <w:r w:rsid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202</w:t>
      </w:r>
      <w:r w:rsidR="001F17EE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году – </w:t>
      </w:r>
      <w:r w:rsidR="001F17EE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116,0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%;</w:t>
      </w:r>
    </w:p>
    <w:p w:rsidR="00A42351" w:rsidRPr="006A21AC" w:rsidRDefault="00A42351" w:rsidP="006A21A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</w:t>
      </w:r>
      <w:r w:rsidR="006A21AC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 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объем отгруженных товаров собственного производства, выполненных работ и услуг собственными силами: в прогнозном периоде будет расти и составит в 202</w:t>
      </w:r>
      <w:r w:rsidR="001B0532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</w:t>
      </w:r>
      <w:r w:rsid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ду по консервативному варианту </w:t>
      </w:r>
      <w:r w:rsid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5A5C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890 318,</w:t>
      </w:r>
      <w:r w:rsidR="001B0532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8 </w:t>
      </w:r>
      <w:proofErr w:type="gramStart"/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млн</w:t>
      </w:r>
      <w:proofErr w:type="gramEnd"/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руб.</w:t>
      </w:r>
      <w:r w:rsidR="00AA5EA6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базовому варианту прогноза </w:t>
      </w:r>
      <w:r w:rsidR="001B0532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978 993,8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млн руб., </w:t>
      </w:r>
      <w:r w:rsidR="005A5C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AA5EA6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в целом 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</w:t>
      </w:r>
      <w:r w:rsidR="001B0532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 к 202</w:t>
      </w:r>
      <w:r w:rsidR="001B0532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году </w:t>
      </w:r>
      <w:r w:rsidR="00EB3DF3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прогнозируется с ростом 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</w:t>
      </w:r>
      <w:r w:rsidR="00AA5EA6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17,6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% и </w:t>
      </w:r>
      <w:r w:rsid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AA5EA6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48,4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% соответственно;</w:t>
      </w:r>
    </w:p>
    <w:p w:rsidR="00A42351" w:rsidRPr="006A21AC" w:rsidRDefault="00A42351" w:rsidP="006A21A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4) количество субъектов малого и среднего предпринимательства: в прогнозном периоде по консервативному варианту сокра</w:t>
      </w:r>
      <w:r w:rsidR="00BC1884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</w:t>
      </w:r>
      <w:r w:rsidR="005A5C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ся (к 202</w:t>
      </w:r>
      <w:r w:rsidR="00F60F58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году </w:t>
      </w:r>
      <w:r w:rsidR="00F60F58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незначительно 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уменьшится относительно 202</w:t>
      </w:r>
      <w:r w:rsidR="00F60F58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на </w:t>
      </w:r>
      <w:r w:rsidR="00154CE4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1,6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% и составит </w:t>
      </w:r>
      <w:r w:rsid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F60F58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31,0 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тыс. единиц),</w:t>
      </w:r>
      <w:r w:rsidRPr="006A21A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базовому варианту прирост показателя к</w:t>
      </w:r>
      <w:r w:rsidR="002E24D3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</w:t>
      </w:r>
      <w:r w:rsidR="00F60F58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году составит </w:t>
      </w:r>
      <w:r w:rsidR="00FB7D30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0,6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% (</w:t>
      </w:r>
      <w:r w:rsidR="00F60F58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31,7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единиц);</w:t>
      </w:r>
    </w:p>
    <w:p w:rsidR="00393A95" w:rsidRPr="006A21AC" w:rsidRDefault="00A42351" w:rsidP="006A21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61287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инвестиции в основной капитал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4203B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консервативному варианту </w:t>
      </w:r>
      <w:r w:rsidR="0084203B" w:rsidRPr="006A21A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в целом за прогнозный период (2028 год к 2025 году) </w:t>
      </w:r>
      <w:r w:rsidR="009B5C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могут</w:t>
      </w:r>
      <w:r w:rsidR="0084203B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снизиться на 11,8% в сопоставимых ценах (рост на 2,4% в действующих ценах)</w:t>
      </w:r>
      <w:r w:rsidR="008420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, 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базовому варианту в прогнозном периоде будет отмечаться положительная динамика инвестиций с умеренными темпам роста: в 202</w:t>
      </w:r>
      <w:r w:rsidR="002138AF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году о</w:t>
      </w:r>
      <w:r w:rsid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бщий объем инвестиций составит </w:t>
      </w:r>
      <w:r w:rsidR="0044460D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90 381,2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proofErr w:type="gramStart"/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млн</w:t>
      </w:r>
      <w:proofErr w:type="gramEnd"/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руб. (на </w:t>
      </w:r>
      <w:r w:rsidR="00F234D5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0,5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% </w:t>
      </w:r>
      <w:r w:rsidR="0044460D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выше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уровня предыдущего года в сопоставимых ценах), в 202</w:t>
      </w:r>
      <w:r w:rsidR="002138AF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году – </w:t>
      </w:r>
      <w:r w:rsidR="0044460D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96 140,3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proofErr w:type="gramStart"/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млн</w:t>
      </w:r>
      <w:proofErr w:type="gramEnd"/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руб. (на </w:t>
      </w:r>
      <w:r w:rsidR="00CC21B5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1,5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% выше уровня предыдущего года в сопоставимых ценах), в 202</w:t>
      </w:r>
      <w:r w:rsidR="0044460D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году – </w:t>
      </w:r>
      <w:r w:rsidR="0044460D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102 781,2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млн руб. (с ростом в сопоставимых ценах на </w:t>
      </w:r>
      <w:r w:rsidR="00CC21B5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2,5</w:t>
      </w:r>
      <w:r w:rsidR="008420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%)</w:t>
      </w:r>
      <w:r w:rsidR="00393A95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;</w:t>
      </w:r>
    </w:p>
    <w:p w:rsidR="00A42351" w:rsidRPr="006A21AC" w:rsidRDefault="00A42351" w:rsidP="006A21AC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6)</w:t>
      </w:r>
      <w:r w:rsidR="006A21AC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 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объем бюджетных инвестиций (всех уровней бюджета): может увеличиться в 202</w:t>
      </w:r>
      <w:r w:rsidR="00A85C19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году относительно 202</w:t>
      </w:r>
      <w:r w:rsidR="00A85C19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по консервативному варианту на </w:t>
      </w:r>
      <w:r w:rsidR="00A85C19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2,4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% и составит </w:t>
      </w:r>
      <w:r w:rsidR="00A85C19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5 838,8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млн</w:t>
      </w:r>
      <w:proofErr w:type="gramEnd"/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руб., по базовом</w:t>
      </w:r>
      <w:r w:rsidR="00A85C19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 варианту на 20,0% и составит 6 839,9 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млн руб.;</w:t>
      </w:r>
    </w:p>
    <w:p w:rsidR="00FD4494" w:rsidRPr="006A21AC" w:rsidRDefault="00021F7E" w:rsidP="006A21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A42351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численность занятых </w:t>
      </w:r>
      <w:r w:rsidR="00FD4494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в экономике </w:t>
      </w:r>
      <w:r w:rsidR="00FD4494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2026 году по консервативному варианту незначительно снизится </w:t>
      </w:r>
      <w:r w:rsid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прогнозируется 358,3 </w:t>
      </w:r>
      <w:proofErr w:type="spellStart"/>
      <w:r w:rsid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</w:t>
      </w:r>
      <w:proofErr w:type="gramStart"/>
      <w:r w:rsid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.ч</w:t>
      </w:r>
      <w:proofErr w:type="gramEnd"/>
      <w:r w:rsid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ел</w:t>
      </w:r>
      <w:proofErr w:type="spellEnd"/>
      <w:r w:rsid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FD4494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 оценке 2025 года (359 </w:t>
      </w:r>
      <w:proofErr w:type="spellStart"/>
      <w:r w:rsidR="00FD4494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тыс.чел</w:t>
      </w:r>
      <w:proofErr w:type="spellEnd"/>
      <w:r w:rsidR="00235269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FD4494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), по базовому варианту </w:t>
      </w:r>
      <w:r w:rsidR="00C06A69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FD4494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незнач</w:t>
      </w:r>
      <w:r w:rsid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ительное увеличение 360,4</w:t>
      </w:r>
      <w:r w:rsidR="00235269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35269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тыс.</w:t>
      </w:r>
      <w:r w:rsidR="00FD4494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чел</w:t>
      </w:r>
      <w:proofErr w:type="spellEnd"/>
      <w:r w:rsidR="00235269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FD4494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(на 0,4%);</w:t>
      </w:r>
    </w:p>
    <w:p w:rsidR="00A42351" w:rsidRPr="006A21AC" w:rsidRDefault="00021F7E" w:rsidP="006A21A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="00666B22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</w:t>
      </w:r>
      <w:r w:rsidR="00A42351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размер среднемесячной номинальной начисленной заработной платы работников организаций, не относящихся к субъектам малого и среднего предпринимательства</w:t>
      </w:r>
      <w:r w:rsidR="005C067D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A42351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202</w:t>
      </w:r>
      <w:r w:rsidR="0094566C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A42351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году </w:t>
      </w:r>
      <w:r w:rsidR="00666B22" w:rsidRPr="006A21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может составить по консервативному варианту 94 500 руб. (рост на 8,5% к оценке 2025 года), по базовому варианту – 96 500 </w:t>
      </w:r>
      <w:r w:rsidR="00C06A69" w:rsidRPr="006A21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руб. </w:t>
      </w:r>
      <w:r w:rsidR="0084203B">
        <w:rPr>
          <w:rFonts w:ascii="Times New Roman" w:hAnsi="Times New Roman" w:cs="Times New Roman"/>
          <w:color w:val="000000" w:themeColor="text1"/>
          <w:sz w:val="28"/>
          <w:szCs w:val="28"/>
        </w:rPr>
        <w:t>(рост на 10,8</w:t>
      </w:r>
      <w:r w:rsidR="00666B22" w:rsidRPr="006A21AC">
        <w:rPr>
          <w:rFonts w:ascii="Times New Roman" w:hAnsi="Times New Roman" w:cs="Times New Roman"/>
          <w:color w:val="000000" w:themeColor="text1"/>
          <w:sz w:val="28"/>
          <w:szCs w:val="28"/>
        </w:rPr>
        <w:t>% к оценке 2025 года).</w:t>
      </w:r>
      <w:r w:rsidR="00666B22"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A42351" w:rsidRPr="006A21AC" w:rsidRDefault="00A42351" w:rsidP="006A21AC">
      <w:pPr>
        <w:tabs>
          <w:tab w:val="left" w:pos="284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 Рекомендовать администра</w:t>
      </w:r>
      <w:r w:rsid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ции городского округа Тольятти </w:t>
      </w:r>
      <w:proofErr w:type="gramStart"/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разместить Прогноз</w:t>
      </w:r>
      <w:proofErr w:type="gramEnd"/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официальном сайте администрации городского округа Тольятти в </w:t>
      </w:r>
      <w:r w:rsidR="005A5C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информационно-телекоммуникационной </w:t>
      </w: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сети «Интернет»: https://tgl.ru.</w:t>
      </w:r>
    </w:p>
    <w:p w:rsidR="00A42351" w:rsidRPr="006A21AC" w:rsidRDefault="00A42351" w:rsidP="006A21AC">
      <w:pPr>
        <w:tabs>
          <w:tab w:val="left" w:pos="993"/>
          <w:tab w:val="lef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r w:rsidRPr="006A2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5. Рекомендовать Думе городского округа Тольятти разместить Прогноз </w:t>
      </w:r>
      <w:r w:rsidRPr="006A21AC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на официальном сайте Думы городского округа Тольятти в </w:t>
      </w:r>
      <w:r w:rsidR="005A5C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информационно-телекоммуникационной</w:t>
      </w:r>
      <w:r w:rsidR="005A5CF1" w:rsidRPr="006A21AC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 </w:t>
      </w:r>
      <w:r w:rsidRPr="006A21AC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сети «Интернет»: </w:t>
      </w:r>
      <w:hyperlink r:id="rId8" w:history="1">
        <w:r w:rsidRPr="006A21AC">
          <w:rPr>
            <w:rFonts w:ascii="Times New Roman" w:eastAsia="Times New Roman" w:hAnsi="Times New Roman" w:cs="Times New Roman"/>
            <w:color w:val="000000" w:themeColor="text1"/>
            <w:kern w:val="2"/>
            <w:sz w:val="28"/>
            <w:szCs w:val="28"/>
            <w:lang w:eastAsia="ar-SA"/>
          </w:rPr>
          <w:t>www.dumatlt.ru</w:t>
        </w:r>
      </w:hyperlink>
      <w:r w:rsidRPr="006A21AC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.</w:t>
      </w:r>
    </w:p>
    <w:p w:rsidR="00A42351" w:rsidRPr="006A21AC" w:rsidRDefault="00A42351" w:rsidP="006A21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  <w:lang w:eastAsia="ru-RU"/>
        </w:rPr>
      </w:pPr>
      <w:r w:rsidRPr="006A21A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  <w:lang w:eastAsia="ru-RU"/>
        </w:rPr>
        <w:t>6. </w:t>
      </w:r>
      <w:proofErr w:type="gramStart"/>
      <w:r w:rsidRPr="006A21A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  <w:lang w:eastAsia="ru-RU"/>
        </w:rPr>
        <w:t>Контроль за</w:t>
      </w:r>
      <w:proofErr w:type="gramEnd"/>
      <w:r w:rsidRPr="006A21A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  <w:lang w:eastAsia="ru-RU"/>
        </w:rPr>
        <w:t xml:space="preserve"> выполнение</w:t>
      </w:r>
      <w:r w:rsidR="006A21A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  <w:lang w:eastAsia="ru-RU"/>
        </w:rPr>
        <w:t xml:space="preserve">м настоящего решения возложить </w:t>
      </w:r>
      <w:r w:rsidRPr="006A21A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  <w:lang w:eastAsia="ru-RU"/>
        </w:rPr>
        <w:t>на постоянную комиссию по бюд</w:t>
      </w:r>
      <w:r w:rsidR="006A21A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  <w:lang w:eastAsia="ru-RU"/>
        </w:rPr>
        <w:t>жету и экономической политике.</w:t>
      </w:r>
    </w:p>
    <w:p w:rsidR="00A42351" w:rsidRPr="006A21AC" w:rsidRDefault="00A42351" w:rsidP="006A21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  <w:lang w:eastAsia="ru-RU"/>
        </w:rPr>
      </w:pPr>
    </w:p>
    <w:p w:rsidR="00A42351" w:rsidRDefault="00A42351" w:rsidP="006A21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  <w:lang w:eastAsia="ru-RU"/>
        </w:rPr>
      </w:pPr>
    </w:p>
    <w:p w:rsidR="006A21AC" w:rsidRPr="006A21AC" w:rsidRDefault="006A21AC" w:rsidP="006A21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  <w:lang w:eastAsia="ru-RU"/>
        </w:rPr>
      </w:pPr>
    </w:p>
    <w:p w:rsidR="00A42351" w:rsidRPr="006A21AC" w:rsidRDefault="00A42351" w:rsidP="006A21AC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6A21A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Председатель Думы           </w:t>
      </w:r>
      <w:r w:rsidR="006A21A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6A21A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                                                               </w:t>
      </w:r>
      <w:proofErr w:type="spellStart"/>
      <w:r w:rsidRPr="006A21A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С.Ю.Рузанов</w:t>
      </w:r>
      <w:proofErr w:type="spellEnd"/>
    </w:p>
    <w:sectPr w:rsidR="00A42351" w:rsidRPr="006A21AC" w:rsidSect="00612878"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878" w:rsidRDefault="00612878">
      <w:pPr>
        <w:spacing w:after="0" w:line="240" w:lineRule="auto"/>
      </w:pPr>
      <w:r>
        <w:separator/>
      </w:r>
    </w:p>
  </w:endnote>
  <w:endnote w:type="continuationSeparator" w:id="0">
    <w:p w:rsidR="00612878" w:rsidRDefault="00612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878" w:rsidRDefault="00612878">
      <w:pPr>
        <w:spacing w:after="0" w:line="240" w:lineRule="auto"/>
      </w:pPr>
      <w:r>
        <w:separator/>
      </w:r>
    </w:p>
  </w:footnote>
  <w:footnote w:type="continuationSeparator" w:id="0">
    <w:p w:rsidR="00612878" w:rsidRDefault="00612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9240763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612878" w:rsidRPr="00151F7E" w:rsidRDefault="00612878" w:rsidP="00612878">
        <w:pPr>
          <w:pStyle w:val="a3"/>
          <w:jc w:val="center"/>
          <w:rPr>
            <w:sz w:val="20"/>
            <w:szCs w:val="20"/>
          </w:rPr>
        </w:pPr>
        <w:r w:rsidRPr="00151F7E">
          <w:rPr>
            <w:sz w:val="20"/>
            <w:szCs w:val="20"/>
          </w:rPr>
          <w:fldChar w:fldCharType="begin"/>
        </w:r>
        <w:r w:rsidRPr="00151F7E">
          <w:rPr>
            <w:sz w:val="20"/>
            <w:szCs w:val="20"/>
          </w:rPr>
          <w:instrText>PAGE   \* MERGEFORMAT</w:instrText>
        </w:r>
        <w:r w:rsidRPr="00151F7E">
          <w:rPr>
            <w:sz w:val="20"/>
            <w:szCs w:val="20"/>
          </w:rPr>
          <w:fldChar w:fldCharType="separate"/>
        </w:r>
        <w:r w:rsidR="002D13EE">
          <w:rPr>
            <w:noProof/>
            <w:sz w:val="20"/>
            <w:szCs w:val="20"/>
          </w:rPr>
          <w:t>2</w:t>
        </w:r>
        <w:r w:rsidRPr="00151F7E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73969"/>
    <w:multiLevelType w:val="hybridMultilevel"/>
    <w:tmpl w:val="0C1249C2"/>
    <w:lvl w:ilvl="0" w:tplc="462445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15E77263"/>
    <w:multiLevelType w:val="multilevel"/>
    <w:tmpl w:val="9FE8336A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"/>
      <w:lvlJc w:val="left"/>
      <w:pPr>
        <w:ind w:left="6860" w:hanging="6435"/>
      </w:pPr>
    </w:lvl>
    <w:lvl w:ilvl="2">
      <w:start w:val="1"/>
      <w:numFmt w:val="decimal"/>
      <w:isLgl/>
      <w:lvlText w:val="%1.%2.%3"/>
      <w:lvlJc w:val="left"/>
      <w:pPr>
        <w:ind w:left="7209" w:hanging="6435"/>
      </w:pPr>
    </w:lvl>
    <w:lvl w:ilvl="3">
      <w:start w:val="1"/>
      <w:numFmt w:val="decimal"/>
      <w:isLgl/>
      <w:lvlText w:val="%1.%2.%3.%4"/>
      <w:lvlJc w:val="left"/>
      <w:pPr>
        <w:ind w:left="7558" w:hanging="6435"/>
      </w:pPr>
    </w:lvl>
    <w:lvl w:ilvl="4">
      <w:start w:val="1"/>
      <w:numFmt w:val="decimal"/>
      <w:isLgl/>
      <w:lvlText w:val="%1.%2.%3.%4.%5"/>
      <w:lvlJc w:val="left"/>
      <w:pPr>
        <w:ind w:left="7907" w:hanging="6435"/>
      </w:pPr>
    </w:lvl>
    <w:lvl w:ilvl="5">
      <w:start w:val="1"/>
      <w:numFmt w:val="decimal"/>
      <w:isLgl/>
      <w:lvlText w:val="%1.%2.%3.%4.%5.%6"/>
      <w:lvlJc w:val="left"/>
      <w:pPr>
        <w:ind w:left="8256" w:hanging="6435"/>
      </w:pPr>
    </w:lvl>
    <w:lvl w:ilvl="6">
      <w:start w:val="1"/>
      <w:numFmt w:val="decimal"/>
      <w:isLgl/>
      <w:lvlText w:val="%1.%2.%3.%4.%5.%6.%7"/>
      <w:lvlJc w:val="left"/>
      <w:pPr>
        <w:ind w:left="8605" w:hanging="6435"/>
      </w:pPr>
    </w:lvl>
    <w:lvl w:ilvl="7">
      <w:start w:val="1"/>
      <w:numFmt w:val="decimal"/>
      <w:isLgl/>
      <w:lvlText w:val="%1.%2.%3.%4.%5.%6.%7.%8"/>
      <w:lvlJc w:val="left"/>
      <w:pPr>
        <w:ind w:left="8954" w:hanging="6435"/>
      </w:pPr>
    </w:lvl>
    <w:lvl w:ilvl="8">
      <w:start w:val="1"/>
      <w:numFmt w:val="decimal"/>
      <w:isLgl/>
      <w:lvlText w:val="%1.%2.%3.%4.%5.%6.%7.%8.%9"/>
      <w:lvlJc w:val="left"/>
      <w:pPr>
        <w:ind w:left="9303" w:hanging="6435"/>
      </w:pPr>
    </w:lvl>
  </w:abstractNum>
  <w:abstractNum w:abstractNumId="2">
    <w:nsid w:val="2A610194"/>
    <w:multiLevelType w:val="hybridMultilevel"/>
    <w:tmpl w:val="6C5094A6"/>
    <w:lvl w:ilvl="0" w:tplc="9D8EDCCE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4AA6A46"/>
    <w:multiLevelType w:val="hybridMultilevel"/>
    <w:tmpl w:val="36F24D50"/>
    <w:lvl w:ilvl="0" w:tplc="A7CCE852">
      <w:start w:val="9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">
    <w:nsid w:val="5D281AB2"/>
    <w:multiLevelType w:val="hybridMultilevel"/>
    <w:tmpl w:val="F8207C0C"/>
    <w:lvl w:ilvl="0" w:tplc="04190011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A07160"/>
    <w:multiLevelType w:val="multilevel"/>
    <w:tmpl w:val="9FE8336A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"/>
      <w:lvlJc w:val="left"/>
      <w:pPr>
        <w:ind w:left="6860" w:hanging="6435"/>
      </w:pPr>
    </w:lvl>
    <w:lvl w:ilvl="2">
      <w:start w:val="1"/>
      <w:numFmt w:val="decimal"/>
      <w:isLgl/>
      <w:lvlText w:val="%1.%2.%3"/>
      <w:lvlJc w:val="left"/>
      <w:pPr>
        <w:ind w:left="7209" w:hanging="6435"/>
      </w:pPr>
    </w:lvl>
    <w:lvl w:ilvl="3">
      <w:start w:val="1"/>
      <w:numFmt w:val="decimal"/>
      <w:isLgl/>
      <w:lvlText w:val="%1.%2.%3.%4"/>
      <w:lvlJc w:val="left"/>
      <w:pPr>
        <w:ind w:left="7558" w:hanging="6435"/>
      </w:pPr>
    </w:lvl>
    <w:lvl w:ilvl="4">
      <w:start w:val="1"/>
      <w:numFmt w:val="decimal"/>
      <w:isLgl/>
      <w:lvlText w:val="%1.%2.%3.%4.%5"/>
      <w:lvlJc w:val="left"/>
      <w:pPr>
        <w:ind w:left="7907" w:hanging="6435"/>
      </w:pPr>
    </w:lvl>
    <w:lvl w:ilvl="5">
      <w:start w:val="1"/>
      <w:numFmt w:val="decimal"/>
      <w:isLgl/>
      <w:lvlText w:val="%1.%2.%3.%4.%5.%6"/>
      <w:lvlJc w:val="left"/>
      <w:pPr>
        <w:ind w:left="8256" w:hanging="6435"/>
      </w:pPr>
    </w:lvl>
    <w:lvl w:ilvl="6">
      <w:start w:val="1"/>
      <w:numFmt w:val="decimal"/>
      <w:isLgl/>
      <w:lvlText w:val="%1.%2.%3.%4.%5.%6.%7"/>
      <w:lvlJc w:val="left"/>
      <w:pPr>
        <w:ind w:left="8605" w:hanging="6435"/>
      </w:pPr>
    </w:lvl>
    <w:lvl w:ilvl="7">
      <w:start w:val="1"/>
      <w:numFmt w:val="decimal"/>
      <w:isLgl/>
      <w:lvlText w:val="%1.%2.%3.%4.%5.%6.%7.%8"/>
      <w:lvlJc w:val="left"/>
      <w:pPr>
        <w:ind w:left="8954" w:hanging="6435"/>
      </w:pPr>
    </w:lvl>
    <w:lvl w:ilvl="8">
      <w:start w:val="1"/>
      <w:numFmt w:val="decimal"/>
      <w:isLgl/>
      <w:lvlText w:val="%1.%2.%3.%4.%5.%6.%7.%8.%9"/>
      <w:lvlJc w:val="left"/>
      <w:pPr>
        <w:ind w:left="9303" w:hanging="6435"/>
      </w:pPr>
    </w:lvl>
  </w:abstractNum>
  <w:abstractNum w:abstractNumId="6">
    <w:nsid w:val="71842FC5"/>
    <w:multiLevelType w:val="hybridMultilevel"/>
    <w:tmpl w:val="F39E7FCA"/>
    <w:lvl w:ilvl="0" w:tplc="EB00F566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146"/>
    <w:rsid w:val="00001431"/>
    <w:rsid w:val="0000626D"/>
    <w:rsid w:val="00021F7E"/>
    <w:rsid w:val="00041F6C"/>
    <w:rsid w:val="000513CA"/>
    <w:rsid w:val="00052424"/>
    <w:rsid w:val="00064D75"/>
    <w:rsid w:val="000C4537"/>
    <w:rsid w:val="000C5AFC"/>
    <w:rsid w:val="000D0CDB"/>
    <w:rsid w:val="0012220A"/>
    <w:rsid w:val="00127FA3"/>
    <w:rsid w:val="00142441"/>
    <w:rsid w:val="001457C1"/>
    <w:rsid w:val="001531AE"/>
    <w:rsid w:val="00154CE4"/>
    <w:rsid w:val="00156906"/>
    <w:rsid w:val="00160FB0"/>
    <w:rsid w:val="00185312"/>
    <w:rsid w:val="00191AFD"/>
    <w:rsid w:val="00195E16"/>
    <w:rsid w:val="00197714"/>
    <w:rsid w:val="001A5A11"/>
    <w:rsid w:val="001B04D9"/>
    <w:rsid w:val="001B0532"/>
    <w:rsid w:val="001B6100"/>
    <w:rsid w:val="001D2DDA"/>
    <w:rsid w:val="001D7779"/>
    <w:rsid w:val="001F17EE"/>
    <w:rsid w:val="001F57D5"/>
    <w:rsid w:val="00206244"/>
    <w:rsid w:val="002105C4"/>
    <w:rsid w:val="002138AF"/>
    <w:rsid w:val="00224D09"/>
    <w:rsid w:val="002314C3"/>
    <w:rsid w:val="00235269"/>
    <w:rsid w:val="00236208"/>
    <w:rsid w:val="0027090A"/>
    <w:rsid w:val="002717A5"/>
    <w:rsid w:val="00276857"/>
    <w:rsid w:val="002B04FC"/>
    <w:rsid w:val="002B448F"/>
    <w:rsid w:val="002C4A42"/>
    <w:rsid w:val="002D13EE"/>
    <w:rsid w:val="002E1942"/>
    <w:rsid w:val="002E24D3"/>
    <w:rsid w:val="003053D7"/>
    <w:rsid w:val="00322074"/>
    <w:rsid w:val="0033226B"/>
    <w:rsid w:val="00333461"/>
    <w:rsid w:val="003619DA"/>
    <w:rsid w:val="00374E3E"/>
    <w:rsid w:val="00393A95"/>
    <w:rsid w:val="00397B6C"/>
    <w:rsid w:val="003A30BF"/>
    <w:rsid w:val="003D457E"/>
    <w:rsid w:val="003E0F0F"/>
    <w:rsid w:val="003F3B1A"/>
    <w:rsid w:val="00404B2B"/>
    <w:rsid w:val="00411074"/>
    <w:rsid w:val="0044460D"/>
    <w:rsid w:val="004472A5"/>
    <w:rsid w:val="004510FB"/>
    <w:rsid w:val="00472BF7"/>
    <w:rsid w:val="00480710"/>
    <w:rsid w:val="004976A9"/>
    <w:rsid w:val="004A45AE"/>
    <w:rsid w:val="004B2B81"/>
    <w:rsid w:val="004B72AB"/>
    <w:rsid w:val="004C49F9"/>
    <w:rsid w:val="004C4D3B"/>
    <w:rsid w:val="004C5C6C"/>
    <w:rsid w:val="004E460D"/>
    <w:rsid w:val="004F5226"/>
    <w:rsid w:val="0050264B"/>
    <w:rsid w:val="00527C77"/>
    <w:rsid w:val="0056091B"/>
    <w:rsid w:val="005775B1"/>
    <w:rsid w:val="005779D9"/>
    <w:rsid w:val="005862FC"/>
    <w:rsid w:val="0059038A"/>
    <w:rsid w:val="005911A7"/>
    <w:rsid w:val="005A5CF1"/>
    <w:rsid w:val="005C067D"/>
    <w:rsid w:val="005D17D7"/>
    <w:rsid w:val="005D236F"/>
    <w:rsid w:val="005D23D1"/>
    <w:rsid w:val="005D27AD"/>
    <w:rsid w:val="005E3D6E"/>
    <w:rsid w:val="005E4515"/>
    <w:rsid w:val="005F0B90"/>
    <w:rsid w:val="005F1544"/>
    <w:rsid w:val="00612878"/>
    <w:rsid w:val="00624AEA"/>
    <w:rsid w:val="006341BC"/>
    <w:rsid w:val="0064256C"/>
    <w:rsid w:val="00663F40"/>
    <w:rsid w:val="00666B22"/>
    <w:rsid w:val="00676AA4"/>
    <w:rsid w:val="006844AC"/>
    <w:rsid w:val="006A21AC"/>
    <w:rsid w:val="006C5BA1"/>
    <w:rsid w:val="006D0746"/>
    <w:rsid w:val="006E3D95"/>
    <w:rsid w:val="006F774F"/>
    <w:rsid w:val="00720423"/>
    <w:rsid w:val="00774D8A"/>
    <w:rsid w:val="00787BE6"/>
    <w:rsid w:val="007909DA"/>
    <w:rsid w:val="007A530C"/>
    <w:rsid w:val="007A6923"/>
    <w:rsid w:val="007C57D9"/>
    <w:rsid w:val="007D17BF"/>
    <w:rsid w:val="007D1CB6"/>
    <w:rsid w:val="007E04DA"/>
    <w:rsid w:val="0080224A"/>
    <w:rsid w:val="008108D9"/>
    <w:rsid w:val="008122F2"/>
    <w:rsid w:val="00835DAF"/>
    <w:rsid w:val="0084203B"/>
    <w:rsid w:val="00872591"/>
    <w:rsid w:val="008B7E01"/>
    <w:rsid w:val="008E5DA7"/>
    <w:rsid w:val="00926C68"/>
    <w:rsid w:val="00930518"/>
    <w:rsid w:val="0094566C"/>
    <w:rsid w:val="00955B5F"/>
    <w:rsid w:val="00984E74"/>
    <w:rsid w:val="009B1F98"/>
    <w:rsid w:val="009B5C18"/>
    <w:rsid w:val="009C386E"/>
    <w:rsid w:val="009D40A1"/>
    <w:rsid w:val="009E2070"/>
    <w:rsid w:val="00A15FDE"/>
    <w:rsid w:val="00A26FF0"/>
    <w:rsid w:val="00A273D0"/>
    <w:rsid w:val="00A36ED8"/>
    <w:rsid w:val="00A42351"/>
    <w:rsid w:val="00A522E2"/>
    <w:rsid w:val="00A66289"/>
    <w:rsid w:val="00A72C48"/>
    <w:rsid w:val="00A840E7"/>
    <w:rsid w:val="00A85C19"/>
    <w:rsid w:val="00A87A89"/>
    <w:rsid w:val="00AA5EA6"/>
    <w:rsid w:val="00AC2238"/>
    <w:rsid w:val="00AF7239"/>
    <w:rsid w:val="00B04557"/>
    <w:rsid w:val="00B25E5D"/>
    <w:rsid w:val="00B30912"/>
    <w:rsid w:val="00B722EC"/>
    <w:rsid w:val="00B73971"/>
    <w:rsid w:val="00BA1866"/>
    <w:rsid w:val="00BA1A73"/>
    <w:rsid w:val="00BB677F"/>
    <w:rsid w:val="00BC1884"/>
    <w:rsid w:val="00BC5FED"/>
    <w:rsid w:val="00BE0896"/>
    <w:rsid w:val="00BE23DE"/>
    <w:rsid w:val="00C06A69"/>
    <w:rsid w:val="00C40168"/>
    <w:rsid w:val="00C53FCC"/>
    <w:rsid w:val="00C619BD"/>
    <w:rsid w:val="00C7448D"/>
    <w:rsid w:val="00C813E9"/>
    <w:rsid w:val="00C931E6"/>
    <w:rsid w:val="00CB681B"/>
    <w:rsid w:val="00CC21B5"/>
    <w:rsid w:val="00CC32B7"/>
    <w:rsid w:val="00CE194B"/>
    <w:rsid w:val="00CF0462"/>
    <w:rsid w:val="00D011B3"/>
    <w:rsid w:val="00D05DA0"/>
    <w:rsid w:val="00D1492E"/>
    <w:rsid w:val="00D33BC6"/>
    <w:rsid w:val="00D5452D"/>
    <w:rsid w:val="00D70B64"/>
    <w:rsid w:val="00D93E48"/>
    <w:rsid w:val="00D96A11"/>
    <w:rsid w:val="00DB1146"/>
    <w:rsid w:val="00DE0DAF"/>
    <w:rsid w:val="00DE2AA3"/>
    <w:rsid w:val="00DF1AFF"/>
    <w:rsid w:val="00E1775F"/>
    <w:rsid w:val="00E41B73"/>
    <w:rsid w:val="00E54FDE"/>
    <w:rsid w:val="00E5610C"/>
    <w:rsid w:val="00E61B99"/>
    <w:rsid w:val="00E91E15"/>
    <w:rsid w:val="00E92A24"/>
    <w:rsid w:val="00E977BE"/>
    <w:rsid w:val="00EA54A6"/>
    <w:rsid w:val="00EB3DF3"/>
    <w:rsid w:val="00EB4E2A"/>
    <w:rsid w:val="00EC533C"/>
    <w:rsid w:val="00EC5405"/>
    <w:rsid w:val="00F13739"/>
    <w:rsid w:val="00F234D5"/>
    <w:rsid w:val="00F60F58"/>
    <w:rsid w:val="00F80BF4"/>
    <w:rsid w:val="00FB3B91"/>
    <w:rsid w:val="00FB7D30"/>
    <w:rsid w:val="00FC1DC9"/>
    <w:rsid w:val="00FD4487"/>
    <w:rsid w:val="00FD4494"/>
    <w:rsid w:val="00FE0055"/>
    <w:rsid w:val="00FF7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4"/>
    <w:basedOn w:val="a"/>
    <w:link w:val="a4"/>
    <w:uiPriority w:val="99"/>
    <w:rsid w:val="00DB1146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aliases w:val="Знак4 Знак"/>
    <w:basedOn w:val="a0"/>
    <w:link w:val="a3"/>
    <w:uiPriority w:val="99"/>
    <w:rsid w:val="00DB11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27FA3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EB4E2A"/>
    <w:rPr>
      <w:color w:val="0000FF" w:themeColor="hyperlink"/>
      <w:u w:val="single"/>
    </w:rPr>
  </w:style>
  <w:style w:type="paragraph" w:styleId="a7">
    <w:name w:val="footer"/>
    <w:basedOn w:val="a"/>
    <w:link w:val="a8"/>
    <w:uiPriority w:val="99"/>
    <w:unhideWhenUsed/>
    <w:rsid w:val="006A21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21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4"/>
    <w:basedOn w:val="a"/>
    <w:link w:val="a4"/>
    <w:uiPriority w:val="99"/>
    <w:rsid w:val="00DB1146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aliases w:val="Знак4 Знак"/>
    <w:basedOn w:val="a0"/>
    <w:link w:val="a3"/>
    <w:uiPriority w:val="99"/>
    <w:rsid w:val="00DB11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27FA3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EB4E2A"/>
    <w:rPr>
      <w:color w:val="0000FF" w:themeColor="hyperlink"/>
      <w:u w:val="single"/>
    </w:rPr>
  </w:style>
  <w:style w:type="paragraph" w:styleId="a7">
    <w:name w:val="footer"/>
    <w:basedOn w:val="a"/>
    <w:link w:val="a8"/>
    <w:uiPriority w:val="99"/>
    <w:unhideWhenUsed/>
    <w:rsid w:val="006A21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21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77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umatl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А. Митрофанова</dc:creator>
  <cp:lastModifiedBy>Людмила В. Александрович</cp:lastModifiedBy>
  <cp:revision>43</cp:revision>
  <cp:lastPrinted>2025-11-11T09:12:00Z</cp:lastPrinted>
  <dcterms:created xsi:type="dcterms:W3CDTF">2025-11-06T12:34:00Z</dcterms:created>
  <dcterms:modified xsi:type="dcterms:W3CDTF">2025-11-13T10:02:00Z</dcterms:modified>
</cp:coreProperties>
</file>